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образования и науки Брянской области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автономное учреждение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дополнительного профессионального образования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"Брянский институт повышения квалификации работников образования"</w:t>
      </w: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Региональная программа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методического сопровождения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общеобразовательных организаций, 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имеющих низкие образовательные результаты обучающихся</w:t>
      </w:r>
    </w:p>
    <w:p w:rsidR="00673D74" w:rsidRDefault="00E27ED2">
      <w:pPr>
        <w:pStyle w:val="Heading1"/>
        <w:widowControl w:val="0"/>
        <w:spacing w:before="0" w:after="0" w:line="360" w:lineRule="auto"/>
        <w:ind w:left="357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2020 - 2022 год</w:t>
      </w: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9A2807" w:rsidRDefault="00E27ED2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Брянск, 2020 </w:t>
      </w:r>
    </w:p>
    <w:p w:rsidR="009A2807" w:rsidRDefault="009A280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 w:type="page"/>
      </w:r>
    </w:p>
    <w:p w:rsidR="00673D74" w:rsidRDefault="00673D74">
      <w:pPr>
        <w:pStyle w:val="Heading1"/>
        <w:widowControl w:val="0"/>
        <w:spacing w:before="126" w:after="0"/>
        <w:ind w:right="1075"/>
        <w:jc w:val="center"/>
        <w:rPr>
          <w:rFonts w:ascii="Times New Roman" w:hAnsi="Times New Roman"/>
        </w:rPr>
      </w:pPr>
    </w:p>
    <w:p w:rsidR="00673D74" w:rsidRDefault="00E27ED2">
      <w:pPr>
        <w:pStyle w:val="Heading1"/>
        <w:widowControl w:val="0"/>
        <w:spacing w:before="0" w:after="0" w:line="360" w:lineRule="auto"/>
        <w:ind w:left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Введение</w:t>
      </w:r>
    </w:p>
    <w:p w:rsidR="00673D74" w:rsidRDefault="00E27ED2">
      <w:pPr>
        <w:shd w:val="clear" w:color="auto" w:fill="FFFFFF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высокого качества образования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 в РФ.</w:t>
      </w:r>
    </w:p>
    <w:p w:rsidR="00673D74" w:rsidRDefault="00E27ED2">
      <w:pPr>
        <w:spacing w:after="0" w:line="360" w:lineRule="auto"/>
        <w:ind w:firstLine="54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Указом  Президента РФ от 21.07.2020 N 474 "О национальных целях развития Российской Федерации на период до 2030 года"национальными целями объявлены: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сохранение населения, здоровье и благополучие людей;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возможности для самореализации и развития талантов;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комфортная и безопасная среда для жизни;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достойный, эффективный труд и успешное предпринимательство;</w:t>
      </w:r>
    </w:p>
    <w:p w:rsidR="00673D74" w:rsidRDefault="00E27ED2">
      <w:pPr>
        <w:numPr>
          <w:ilvl w:val="0"/>
          <w:numId w:val="24"/>
        </w:numPr>
        <w:spacing w:after="0" w:line="360" w:lineRule="auto"/>
        <w:ind w:left="0" w:hanging="35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цифровая трансформация.</w:t>
      </w:r>
    </w:p>
    <w:p w:rsidR="00673D74" w:rsidRDefault="00E27ED2">
      <w:pPr>
        <w:widowControl w:val="0"/>
        <w:spacing w:after="0" w:line="360" w:lineRule="auto"/>
        <w:ind w:firstLine="54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Мерилом достижения заявленных национальных целей указаны целевые показатели в отношении каждой из целей.К таким показателям, в частности, отнесено</w:t>
      </w:r>
      <w:bookmarkStart w:id="0" w:name="_dx_frag_StartFragment"/>
      <w:bookmarkEnd w:id="0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вхождение Российской Федерации в число десяти ведущих стран мира по качеству общего образования.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программы". (Федеральный закон 273-ФЗ «Об образовании в Российской Федерации» от 29.12.2012 г. ( в ред. от 31 июля 2020 года))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"Качество образовательной системы – это многокомпонентная </w:t>
      </w:r>
      <w:r>
        <w:rPr>
          <w:rFonts w:ascii="Times New Roman" w:hAnsi="Times New Roman"/>
          <w:b w:val="0"/>
        </w:rPr>
        <w:lastRenderedPageBreak/>
        <w:t>характеристика, одним из показателей которой являются образовательные результаты обучающихся.  ("Методика оказания адресной методической помощи общеобразовательным организациям, имеющим низкие образовательные результаты обучающихся". ФГБУ "Федеральный институт оценки качества образования")</w:t>
      </w:r>
    </w:p>
    <w:p w:rsidR="00673D74" w:rsidRDefault="00E27ED2">
      <w:pPr>
        <w:widowControl w:val="0"/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Достижение качества образования - задача каждой образовательной организации. </w:t>
      </w:r>
      <w:r>
        <w:rPr>
          <w:rFonts w:ascii="Times New Roman" w:hAnsi="Times New Roman"/>
          <w:sz w:val="28"/>
        </w:rPr>
        <w:t xml:space="preserve">Образовательная система высокого качества позволяет каждому обучающемуся достигать высоких результатов.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Современная школа сталкивается с целым рядом трудностей, связанных с внутренними и внешними условиями их работы. Например, факторы риска снижения учебной неуспешности: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Низкий уровень оснащения школы: недостаточное количество компьютеров и отсутствие качественного доступа в Интернет приводит к неравенству в образовательных возможностях.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Дефицит педагогических кадров: отсутствие специалистов-предметников может стать критическим вызовом для школы.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Недостаточная предметная и методическая компетентность: низкий уровень сформированности профессиональных компетентностей учителей может проявляться в низком уровне мотивации обучающихся, низком уровне школьного благополучия, слабом освоение учебной программы и других негативных результатах последствиях.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4. Отсутствие или недостаточная эффективность системы объективной оценки результатов обучения: отсутствие системы объективного наблюдения за образовательными результатами не позволяет своевременно корректировать образовательный процесс, что приводит к ухудшению образовательных результатов.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5. Высокая доля обучающихся с рисками учебной неуспешности: риски учебной неуспешности развиваются из-за отсутствия системной работы с </w:t>
      </w:r>
      <w:r>
        <w:rPr>
          <w:rFonts w:ascii="Times New Roman" w:hAnsi="Times New Roman"/>
          <w:b w:val="0"/>
        </w:rPr>
        <w:lastRenderedPageBreak/>
        <w:t xml:space="preserve">неуспевающими обучающимися и недостаточной психологической поддержки, которую может оказать школа учащимся.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b w:val="0"/>
        </w:rPr>
      </w:pPr>
      <w:r>
        <w:rPr>
          <w:rFonts w:ascii="Times New Roman" w:hAnsi="Times New Roman"/>
          <w:b w:val="0"/>
        </w:rPr>
        <w:t>6. Высокая доля обучающихся с инклюзией: отсутствие развитых компетенций по работе с учащимися с ОВЗ у учителей могут реализовываться в значительном повышении риска низких результатов при росте доли таких обучающихся</w:t>
      </w:r>
      <w:r>
        <w:rPr>
          <w:b w:val="0"/>
        </w:rPr>
        <w:t xml:space="preserve">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b w:val="0"/>
        </w:rPr>
      </w:pPr>
      <w:r>
        <w:rPr>
          <w:b w:val="0"/>
        </w:rPr>
        <w:t xml:space="preserve">7. </w:t>
      </w:r>
      <w:r>
        <w:rPr>
          <w:rFonts w:ascii="Times New Roman" w:hAnsi="Times New Roman"/>
          <w:b w:val="0"/>
        </w:rPr>
        <w:t>Низкое качество адаптации мигрантов, преодоления языковых и культурных барьеров: без дополнительной поддержки учащиеся из семей мигрантов, чей язык общения дома отличается от языка преподавания школьных предметов, могут испытывать значительные затруднения в обучении, что может приводить к общему снижению результатов школы.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b w:val="0"/>
        </w:rPr>
        <w:t xml:space="preserve">8. </w:t>
      </w:r>
      <w:r>
        <w:rPr>
          <w:rFonts w:ascii="Times New Roman" w:hAnsi="Times New Roman"/>
          <w:b w:val="0"/>
        </w:rPr>
        <w:t xml:space="preserve">Низкое качество профориентационной работы: развитие профессионального самоопределения обучающихся является одним важных факторов повышения их мотивации на образование и, как следствие, улучшения образовательных результатов.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9. Пониженный уровень школьного благополучия: школьное благополучие связано с уровнем профессионального сотрудничества педагогического коллектива, который предполагает как индивидуальный профессионализм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определенные решения.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10. Низкая вовлеченность учителей в образовательный процесс: причины низкой вовлеченности учителей в образовательный процесс могут быть различны: отсутствие эффективной коммуникации с руководством образовательной организации, профессиональное «выгорание» и другое.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11. Низкая учебная мотивация школьников: низкая учебная мотивация приводит к снижению отдачи от обучения, что приводит к тому, что у школьников не формируется уверенность в собственных учебных силах, что в </w:t>
      </w:r>
      <w:r>
        <w:rPr>
          <w:rFonts w:ascii="Times New Roman" w:hAnsi="Times New Roman"/>
          <w:b w:val="0"/>
        </w:rPr>
        <w:lastRenderedPageBreak/>
        <w:t xml:space="preserve">конечном итоге затрудняет выбор направления будущей карьеры.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12. Проблемы с вовлеченностью родителей: невовлеченные родители не могут снижать учебную мотивацию за счет предъявления завышенных требований или демонстративного безразличия к учебным делам школьника.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b w:val="0"/>
        </w:rPr>
      </w:pPr>
      <w:r>
        <w:rPr>
          <w:rFonts w:ascii="Times New Roman" w:hAnsi="Times New Roman"/>
          <w:b w:val="0"/>
        </w:rPr>
        <w:t>13. и т.п.</w:t>
      </w:r>
    </w:p>
    <w:p w:rsidR="00673D74" w:rsidRDefault="00E27ED2">
      <w:pPr>
        <w:widowControl w:val="0"/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своевременно выявлять на региональном и муниципальном уровне школы с низкими результатами обучения и/или школы, функционирующие в неблагоприятных условиях, с целью оказания поддержки по преодолению учебной неуспешности обучающихся и, как следствие,  обеспечению качества образовательных результатов, поскольку зачастую образовательные организации самостоятельно не могут определить причины рисков учебной неуспешности.</w:t>
      </w:r>
    </w:p>
    <w:p w:rsidR="00673D74" w:rsidRDefault="00E27ED2">
      <w:pPr>
        <w:widowControl w:val="0"/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Первостепенной задачей на пути решения указанных проблем является определение адресатов - образовательных организаций с наибольшими запросами на компенсацию дефицитов.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 целью обеспечения единого подхода на территории региона к определению содержания понятий "низкие результаты обучения" и "неблагоприятные социальные условия" приняты следующие определения: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 низкие результаты обучения - устойчивые низкие результаты обучения учащихся на уровне основного общего и среднего общего образования, препятствующие продолжению их образовательной и профессиональной траектории;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 неблагоприятные социальные условия - условия ресурсной недостаточности.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 целью приведения к единым критериям отнесения образовательных организаций к категории школ с "низкими результатами обучения" и школ, функционирующих в "неблагоприятных социальных условиях" на территории региона приняты критерии, включающие показатели, характерные для всех </w:t>
      </w:r>
      <w:r>
        <w:rPr>
          <w:rFonts w:ascii="Times New Roman" w:hAnsi="Times New Roman"/>
          <w:b w:val="0"/>
        </w:rPr>
        <w:lastRenderedPageBreak/>
        <w:t>образовательных организаций региона:</w:t>
      </w:r>
    </w:p>
    <w:p w:rsidR="00673D74" w:rsidRDefault="00E27ED2" w:rsidP="003B445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а) "образовательные организации с низкими образовательными результатами обучающихся": </w:t>
      </w:r>
    </w:p>
    <w:p w:rsidR="00673D74" w:rsidRDefault="00E27ED2" w:rsidP="003B4454">
      <w:pPr>
        <w:pStyle w:val="Heading1"/>
        <w:widowControl w:val="0"/>
        <w:spacing w:before="0" w:after="0" w:line="360" w:lineRule="auto"/>
        <w:ind w:left="0"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 низкие образовательные результаты обучающихся по итогам отдельных внешних оценочных процедур (ЕГЭ, ОГЭ, ВПР) в течение 3 последних лет:</w:t>
      </w:r>
    </w:p>
    <w:p w:rsidR="00673D74" w:rsidRDefault="00E27ED2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ЕГЭ: доля участников ЕГЭ, не достигших минимального балла, имеет максимальные значения (по сравнению с другими ОО субъекта Российской Федерации) и доля участников ЕГЭ, получивших от 61 до 100 баллов, имеет минимальные значения (по сравнению с другими ОО субъекта Российской Федерации);</w:t>
      </w:r>
    </w:p>
    <w:p w:rsidR="00673D74" w:rsidRDefault="00E27ED2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ОГЭ: доля участников ОГЭ, получивших отметку «2», имеет максимальные значения (по сравнению с другими ОО субъекта РФ) и доля участников ОГЭ, получивших отметки «4» и «5», имеет минимальные значения (по сравнению с другими ОО субъекта РФ);</w:t>
      </w:r>
    </w:p>
    <w:p w:rsidR="00673D74" w:rsidRDefault="00E27ED2" w:rsidP="003B4454">
      <w:pPr>
        <w:pStyle w:val="a4"/>
        <w:spacing w:after="0" w:line="36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ВПР: не менее 30% обучающихся, получивших  отметку "2" по предмету от числа уча</w:t>
      </w:r>
      <w:r w:rsidR="003B4454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тников, по  двум предметам и более предметам (по сравнению с другими ОО субъекта РФ)</w:t>
      </w:r>
      <w:r>
        <w:rPr>
          <w:rFonts w:ascii="Times New Roman" w:hAnsi="Times New Roman"/>
        </w:rPr>
        <w:t>;</w:t>
      </w:r>
    </w:p>
    <w:p w:rsidR="003B4454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B7040B">
        <w:rPr>
          <w:rFonts w:ascii="Times New Roman" w:hAnsi="Times New Roman"/>
          <w:sz w:val="28"/>
          <w:szCs w:val="28"/>
        </w:rPr>
        <w:t>- доля образовательных организаций, в которых результаты диагностики обучающихся оказались ниже средних по региону по всем направлениям (% от общего количества образовательных организаций, принявших участие в исследовании PISA)</w:t>
      </w:r>
    </w:p>
    <w:p w:rsidR="003B4454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B7040B">
        <w:rPr>
          <w:rFonts w:ascii="Times New Roman" w:hAnsi="Times New Roman"/>
          <w:sz w:val="28"/>
          <w:szCs w:val="28"/>
        </w:rPr>
        <w:t>- доля образовательных организаций, отнесенных к категории ШНОР по результатам комплексной оценки ФГБУ «ФИОКО»</w:t>
      </w:r>
    </w:p>
    <w:p w:rsidR="003B4454" w:rsidRPr="00B7040B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образовательные организации, функционирующие в неблагоприятных социальных условиях:</w:t>
      </w:r>
    </w:p>
    <w:p w:rsidR="003B4454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B7040B">
        <w:rPr>
          <w:rFonts w:ascii="Times New Roman" w:hAnsi="Times New Roman"/>
          <w:sz w:val="28"/>
          <w:szCs w:val="28"/>
        </w:rPr>
        <w:t xml:space="preserve">- доля образовательных организаций, имеющих ресурсную </w:t>
      </w:r>
      <w:r>
        <w:rPr>
          <w:rFonts w:ascii="Times New Roman" w:hAnsi="Times New Roman"/>
          <w:sz w:val="28"/>
          <w:szCs w:val="28"/>
        </w:rPr>
        <w:t>недостаточность</w:t>
      </w:r>
    </w:p>
    <w:p w:rsidR="003B4454" w:rsidRPr="00B7040B" w:rsidRDefault="003B4454" w:rsidP="003B4454">
      <w:pPr>
        <w:pStyle w:val="a4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3B4454" w:rsidRDefault="003B4454" w:rsidP="003B4454">
      <w:pPr>
        <w:pStyle w:val="Heading1"/>
        <w:widowControl w:val="0"/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Cs w:val="28"/>
        </w:rPr>
      </w:pPr>
      <w:r w:rsidRPr="00B7040B">
        <w:rPr>
          <w:rFonts w:ascii="Times New Roman" w:hAnsi="Times New Roman"/>
          <w:b w:val="0"/>
          <w:szCs w:val="28"/>
        </w:rPr>
        <w:lastRenderedPageBreak/>
        <w:t xml:space="preserve">- доля образовательных организаций, имеющих удалённость образовательных организаций от </w:t>
      </w:r>
      <w:r>
        <w:rPr>
          <w:rFonts w:ascii="Times New Roman" w:hAnsi="Times New Roman"/>
          <w:b w:val="0"/>
          <w:szCs w:val="28"/>
        </w:rPr>
        <w:t>других образовательных центров</w:t>
      </w:r>
    </w:p>
    <w:p w:rsidR="003B4454" w:rsidRDefault="003B4454" w:rsidP="003B4454">
      <w:pPr>
        <w:pStyle w:val="Heading1"/>
        <w:widowControl w:val="0"/>
        <w:spacing w:before="0" w:after="0" w:line="360" w:lineRule="auto"/>
        <w:ind w:left="0" w:firstLine="720"/>
        <w:jc w:val="both"/>
        <w:rPr>
          <w:rFonts w:ascii="Times New Roman" w:hAnsi="Times New Roman"/>
          <w:b w:val="0"/>
          <w:szCs w:val="28"/>
        </w:rPr>
      </w:pPr>
      <w:r w:rsidRPr="00B7040B">
        <w:rPr>
          <w:rFonts w:ascii="Times New Roman" w:hAnsi="Times New Roman"/>
          <w:b w:val="0"/>
          <w:szCs w:val="28"/>
        </w:rPr>
        <w:t>- доля образовательных организаций, находящихся в труднодоступной местности (низкий уровень привлекательности территории для про</w:t>
      </w:r>
      <w:r>
        <w:rPr>
          <w:rFonts w:ascii="Times New Roman" w:hAnsi="Times New Roman"/>
          <w:b w:val="0"/>
          <w:szCs w:val="28"/>
        </w:rPr>
        <w:t>живания и работы).</w:t>
      </w:r>
    </w:p>
    <w:p w:rsidR="00673D74" w:rsidRDefault="00E27ED2" w:rsidP="003B445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 результатам проведенного департаментом образования и науки Брянской области мониторинга на территории региона нет</w:t>
      </w:r>
      <w:r w:rsidR="003B445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образовательных организаций, функционирующих в неблагоприятных условиях.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Таким образом, ГАУ ДПО "Брянский институт повышения квалификации работников образования"  разработана региональная программа методического сопровождения общеобразовательных организаций, имеющих низкие образовательные результаты обучающихся, на 2020 - 2022 год.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 программы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Цель - оказание методической помощи образовательным организациям, имеющим низкие образовательные результаты обучающихся, по совершенствованию управления качеством образовательных результатов.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Указанная цель будет достигнута в процессе решения следующих задач: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1) обеспечить образовательные организации необходимыми научно-методическими ресурсами по вопросам достижения качества образовательных результатов;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 сформировать организационные и информационные ресурсы для реализации программы методического сопровождения;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3) сформировать муниципальные системы методического сопровождения образовательных организаций;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4) создать условия для профессионального развития и эффективного повышения квалификации педагогических и управленческих кадров школы;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5) организовать консультирование по вопросам, связанным с разработкой конкретных мероприятий по преодолению неуспешности;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6) организовать сетевое партнерство и обмен опытом между муниципалитетами, образовательными организациями и учителями, создать сетевые педагогические сообщества по проблематике повышения качества образования;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7) обобщить и систематизировать полученный положительный опыт работы в рамках реализации программы;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8) оказывать помощь по реализации сформированных  дорожных карт;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9) осуществлять мониторинг эффективности реализации программы методического сопровождения.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center"/>
        <w:rPr>
          <w:rFonts w:ascii="Times New Roman" w:hAnsi="Times New Roman"/>
          <w:b w:val="0"/>
          <w:color w:val="FF0000"/>
        </w:rPr>
      </w:pPr>
      <w:r>
        <w:rPr>
          <w:rFonts w:ascii="Times New Roman" w:hAnsi="Times New Roman"/>
        </w:rPr>
        <w:t>Организация методической помощи</w:t>
      </w:r>
    </w:p>
    <w:p w:rsidR="00673D74" w:rsidRDefault="00E27ED2">
      <w:pPr>
        <w:spacing w:after="0" w:line="360" w:lineRule="auto"/>
        <w:ind w:firstLine="549"/>
        <w:jc w:val="both"/>
      </w:pPr>
      <w:r>
        <w:rPr>
          <w:rFonts w:ascii="Times New Roman" w:hAnsi="Times New Roman"/>
          <w:sz w:val="28"/>
        </w:rPr>
        <w:t>Адресная программа поддержки школ с низкими образовательными результатами представляет собой перечень мероприятий организационного, методического (научно-методического), психолого-педагогического, информационного и иного плана,  направленных на повышение качества образования</w:t>
      </w:r>
      <w:r>
        <w:t xml:space="preserve">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Основополагающим принципом оказания адресной помощи является принцип сотрудничества, который предполагает, что качественное образование – это результат совместной работы всех групп и участников образовательных отношений.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Механизмом методической помощи образовательным организациям с низкими образовательными результатами должна стать адресная помощь через организацию методического сопровождения со стороны ГАУ ДПО "БИПКРО", муниципальной методической службы, кураторов школ с низкими образовательными результатами,  регионального учебно-методического объединения по вопросам повышения качества образования. 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Содержание оказания методической помощи школам с низкими результатами обучения: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С целью обеспечения развития механизмов управления качеством </w:t>
      </w:r>
      <w:r>
        <w:rPr>
          <w:rFonts w:ascii="Times New Roman" w:hAnsi="Times New Roman"/>
          <w:b w:val="0"/>
        </w:rPr>
        <w:lastRenderedPageBreak/>
        <w:t>образовательных результатов предполагается оказание помощи на региональном и муниципальном уровне в решении внутренних и внешних проблем.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С целью достижения уровня квалификации, способствующего преодолению школьной неуспешности,  педагогическими работниками  школ с низкими результатами обучения организована работа по совершенствованию предметных компетенций педагогических работников.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Направления работы: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 снижению  уровня учебной неуспешности; 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совершенствование компетенций по оказанию психологической поддержки обучающимся с трудностями в обучении; 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разработка адресных рекомендаций для педагогического коллектива по индивидуализации, дифференциации обучения, по вопросам психолого-педагогического сопровождения обучающихся;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оказание методической помощи по внедрению в практику преподавания проектной, исследовательской, творческой деятельности;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оказание методической помощи по организации профориентационной работы как меры повышения мотивации обучающихся; 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консультирование по вопросам выстраивания взаимоотношений школы с родителями и повышению школьного благополучия; </w:t>
      </w:r>
    </w:p>
    <w:p w:rsidR="00673D74" w:rsidRDefault="00E27ED2">
      <w:pPr>
        <w:pStyle w:val="Heading1"/>
        <w:widowControl w:val="0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повышение профессиональных компетенций по сопровождению детей с ОВЗ.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С целью координации действий по осуществлению сетевого взаимодействия (между образовательными организациями и/или другими учреждениями), направленного на обмен лучшими практиками обучения и воспитания и, как следствие, осуществление совместной деятельности, в рамках сетевого взаимодействия функционируют: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региональное учебно-методическое объединение;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региональные инновационные площадки;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стажировочные площадки;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образовательные организации - наставники. </w:t>
      </w:r>
    </w:p>
    <w:p w:rsidR="00673D74" w:rsidRDefault="00673D74">
      <w:pPr>
        <w:pStyle w:val="Heading1"/>
        <w:widowControl w:val="0"/>
        <w:spacing w:before="0" w:after="0" w:line="360" w:lineRule="auto"/>
        <w:jc w:val="both"/>
        <w:rPr>
          <w:rFonts w:ascii="Times New Roman" w:hAnsi="Times New Roman"/>
          <w:b w:val="0"/>
        </w:rPr>
      </w:pP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Мониторинг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Цель мониторинга: изучение и отслеживание изменений в количественных и качественных показателях результативности деятельности образовательных организаций в процессе реализации мероприятий по методическому сопровождению школ, направленных на повышение  эффективности принятия управленческих решений на региональном, муниципальном, школьном уровне для достижения качества образовательных результатов. 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Задачи мониторинга:</w:t>
      </w:r>
    </w:p>
    <w:p w:rsidR="00673D74" w:rsidRDefault="00E27ED2">
      <w:pPr>
        <w:pStyle w:val="Heading1"/>
        <w:widowControl w:val="0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получить информацию о реализации мероприятий, об эффективности реализации адресных программ поддержки и программ перехода школ в эффективный режим работы;</w:t>
      </w:r>
    </w:p>
    <w:p w:rsidR="00673D74" w:rsidRDefault="00E27ED2">
      <w:pPr>
        <w:pStyle w:val="Heading1"/>
        <w:widowControl w:val="0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оценить эффективность методической помощи по принятию управленческих решений, направленных на улучшение ситуации в образовательных организациях на основе представления объективной, достоверной и достаточной информации о динамике изменений качества образования;</w:t>
      </w:r>
    </w:p>
    <w:p w:rsidR="00673D74" w:rsidRDefault="00E27ED2">
      <w:pPr>
        <w:pStyle w:val="Heading1"/>
        <w:widowControl w:val="0"/>
        <w:numPr>
          <w:ilvl w:val="0"/>
          <w:numId w:val="2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проанализировать эффективность механизмов управления качеством образования на региональном и муниципальном уровнях.</w:t>
      </w:r>
    </w:p>
    <w:p w:rsidR="00673D74" w:rsidRDefault="00E27ED2">
      <w:pPr>
        <w:spacing w:after="0" w:line="360" w:lineRule="auto"/>
        <w:jc w:val="both"/>
      </w:pPr>
      <w:r>
        <w:tab/>
      </w:r>
      <w:r>
        <w:rPr>
          <w:rFonts w:ascii="Times New Roman" w:hAnsi="Times New Roman"/>
          <w:sz w:val="28"/>
        </w:rPr>
        <w:t>Объект мониторинга - управленческая деятельность руководителей школ и муниципальных служб методической поддержки.</w:t>
      </w:r>
    </w:p>
    <w:p w:rsidR="00673D74" w:rsidRDefault="00E27ED2">
      <w:pPr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мониторинга – эффективность принятия управленческих решений руководителей школ и муниципальных служб методической поддержки.</w:t>
      </w:r>
    </w:p>
    <w:p w:rsidR="00673D74" w:rsidRDefault="00E27ED2">
      <w:pPr>
        <w:spacing w:after="0" w:line="360" w:lineRule="auto"/>
        <w:ind w:firstLine="5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проведения - экспертиза документов, регламентирующих деятельность образовательной организации.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Показатели эффективности реализации программы методического сопровождения: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1)развитие механизмов управления качеством образовательных результатов: 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696" w:hanging="4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школ, ежегодно показывающих положительную динамику образовательных результатов обучающихся;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положительная динамика индекса низких результатов по процедурам внешней оценки;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наличие/отсутствие в образовательной организации ВСОКО, целью которой  является обеспечение возможности каждому учителю периодически оценивать качество подготовки каждого обучающегося, а директору школы – осуществлять объективный мониторинг качества подготовки обучающихся по всем предметам во всех классах;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наличие/отсутствие системы мониторинга качества повышения квалификации педагогов на основе  диагностики профессиональных дефицитов педагоговна муниципальном и региональном уровне; 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образовательных организаций, охваченных консультативной помощью  по формированию стратегии по переходу школы в эффективный режим;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количество муниципальных методических служб, в задачи которых помимо консультирования входит сопровождение учителей, завершивших обучение по дополнительным образовательным программам;</w:t>
      </w:r>
    </w:p>
    <w:p w:rsidR="00673D74" w:rsidRDefault="00E27ED2">
      <w:pPr>
        <w:pStyle w:val="Heading1"/>
        <w:widowControl w:val="0"/>
        <w:numPr>
          <w:ilvl w:val="0"/>
          <w:numId w:val="15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количество образовательных организаций, в которых решены проблемы дефицита педагогических кадров: полнота обеспеченности педагогическими кадрами; наличие договора сетевого взаимодействия с целью преодоления кадрового дефицита учителей; наличие договора сетевого взаимодействия с целью преодоления кадрового дефицита педагога-психолога, педагога-логопеда, социального педагога;</w:t>
      </w:r>
    </w:p>
    <w:p w:rsidR="00673D74" w:rsidRDefault="00E27ED2">
      <w:pPr>
        <w:pStyle w:val="Heading1"/>
        <w:widowControl w:val="0"/>
        <w:numPr>
          <w:ilvl w:val="0"/>
          <w:numId w:val="21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обеспеченность/необеспеченность учебными материалами;</w:t>
      </w:r>
    </w:p>
    <w:p w:rsidR="00673D74" w:rsidRDefault="00E27ED2">
      <w:pPr>
        <w:pStyle w:val="Heading1"/>
        <w:widowControl w:val="0"/>
        <w:numPr>
          <w:ilvl w:val="0"/>
          <w:numId w:val="21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достаточное/недостаточное количество цифрового оборудования;</w:t>
      </w:r>
    </w:p>
    <w:p w:rsidR="00673D74" w:rsidRDefault="00E27ED2">
      <w:pPr>
        <w:pStyle w:val="Heading1"/>
        <w:widowControl w:val="0"/>
        <w:numPr>
          <w:ilvl w:val="0"/>
          <w:numId w:val="21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высокое/низкое качество Интернет-соединения;</w:t>
      </w:r>
    </w:p>
    <w:p w:rsidR="00673D74" w:rsidRDefault="00E27ED2">
      <w:pPr>
        <w:pStyle w:val="Heading1"/>
        <w:widowControl w:val="0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наличие/отсутствие дефицитов оснащения, зданий и помещений.</w:t>
      </w:r>
    </w:p>
    <w:p w:rsidR="00673D74" w:rsidRDefault="00E27ED2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 совершенствование предметной и методической компетентности учителей:</w:t>
      </w:r>
    </w:p>
    <w:p w:rsidR="00673D74" w:rsidRDefault="00E27ED2">
      <w:pPr>
        <w:pStyle w:val="Heading1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 ОО и реализующих полученные компетенции в процессе образовательной деятельности;</w:t>
      </w:r>
    </w:p>
    <w:p w:rsidR="00673D74" w:rsidRDefault="00E27ED2">
      <w:pPr>
        <w:pStyle w:val="Heading1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учителей, успешно прошедших оценку предметных и методических компетенций;</w:t>
      </w:r>
    </w:p>
    <w:p w:rsidR="00673D74" w:rsidRDefault="00E27ED2">
      <w:pPr>
        <w:pStyle w:val="Heading1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учителей, принявших участие в обмене опытом;</w:t>
      </w:r>
    </w:p>
    <w:p w:rsidR="00673D74" w:rsidRDefault="00E27ED2">
      <w:pPr>
        <w:pStyle w:val="Heading1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учителей, демонстрирующих владение современными образовательными технологиями;</w:t>
      </w:r>
    </w:p>
    <w:p w:rsidR="00673D74" w:rsidRDefault="00E27ED2">
      <w:pPr>
        <w:pStyle w:val="Heading1"/>
        <w:widowControl w:val="0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уровень качества знаний и успеваемости обучающихся;</w:t>
      </w:r>
    </w:p>
    <w:p w:rsidR="00673D74" w:rsidRDefault="00E27ED2">
      <w:pPr>
        <w:pStyle w:val="Heading1"/>
        <w:widowControl w:val="0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уровень мотивации обучающихся;</w:t>
      </w:r>
    </w:p>
    <w:p w:rsidR="00673D74" w:rsidRDefault="00E27ED2">
      <w:pPr>
        <w:pStyle w:val="Heading1"/>
        <w:widowControl w:val="0"/>
        <w:numPr>
          <w:ilvl w:val="0"/>
          <w:numId w:val="6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уровень обучающихся, принявших участие в олимпиадах и предметных конкурсах;</w:t>
      </w:r>
    </w:p>
    <w:p w:rsidR="00673D74" w:rsidRDefault="00E27ED2">
      <w:pPr>
        <w:pStyle w:val="Heading1"/>
        <w:widowControl w:val="0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наличие/отсутствие фактов травли, конфликтов;</w:t>
      </w:r>
    </w:p>
    <w:p w:rsidR="00673D74" w:rsidRDefault="00E27ED2">
      <w:pPr>
        <w:pStyle w:val="Heading1"/>
        <w:widowControl w:val="0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наличие/отсутствие уважительного отношения в коллективе;</w:t>
      </w:r>
    </w:p>
    <w:p w:rsidR="00673D74" w:rsidRDefault="00E27ED2">
      <w:pPr>
        <w:pStyle w:val="Heading1"/>
        <w:widowControl w:val="0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доля обучающихся, удовлетворенных школьной атмосферой; </w:t>
      </w:r>
    </w:p>
    <w:p w:rsidR="00673D74" w:rsidRDefault="00E27ED2">
      <w:pPr>
        <w:pStyle w:val="Heading1"/>
        <w:widowControl w:val="0"/>
        <w:numPr>
          <w:ilvl w:val="0"/>
          <w:numId w:val="8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обучающихся, для которых разработан индивидуальный образовательный маршрут;</w:t>
      </w:r>
    </w:p>
    <w:p w:rsidR="00673D74" w:rsidRDefault="00E27ED2">
      <w:pPr>
        <w:pStyle w:val="Heading1"/>
        <w:widowControl w:val="0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степень заинтересованности учебным процессом со стороны родителей;</w:t>
      </w:r>
    </w:p>
    <w:p w:rsidR="00673D74" w:rsidRDefault="00E27ED2">
      <w:pPr>
        <w:pStyle w:val="Heading1"/>
        <w:widowControl w:val="0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доля родителей, регулярно посещающих родительские собрания; </w:t>
      </w:r>
    </w:p>
    <w:p w:rsidR="00673D74" w:rsidRDefault="00E27ED2">
      <w:pPr>
        <w:pStyle w:val="Heading1"/>
        <w:widowControl w:val="0"/>
        <w:numPr>
          <w:ilvl w:val="0"/>
          <w:numId w:val="22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доля учителей, испытывающих неуверенность при работе с обучающимися с ОВЗ</w:t>
      </w:r>
      <w:r>
        <w:t xml:space="preserve">. </w:t>
      </w:r>
    </w:p>
    <w:p w:rsidR="00673D74" w:rsidRDefault="00E27ED2">
      <w:pPr>
        <w:pStyle w:val="Heading1"/>
        <w:widowControl w:val="0"/>
        <w:numPr>
          <w:ilvl w:val="0"/>
          <w:numId w:val="23"/>
        </w:numPr>
        <w:spacing w:before="0"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наличие/отсутствие  дополнительных занятий для обучающихся, для которых русский язык не является родным или языком повседневного общения. </w:t>
      </w:r>
    </w:p>
    <w:p w:rsidR="00673D74" w:rsidRDefault="00E27ED2">
      <w:pPr>
        <w:pStyle w:val="Heading1"/>
        <w:widowControl w:val="0"/>
        <w:spacing w:before="0" w:after="0" w:line="360" w:lineRule="auto"/>
        <w:ind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3) сетевое взаимодействие: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доля педагогических работников по предметам, прошедших успешную оценку предметных и методических компетенций и вошедших в региональное учебно-методическое объединение;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количество региональных инновационных площадок по направлениям работы;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количество стажировочных  площадок по направлениям работы;</w:t>
      </w:r>
    </w:p>
    <w:p w:rsidR="00673D74" w:rsidRDefault="00E27ED2">
      <w:pPr>
        <w:pStyle w:val="Heading1"/>
        <w:widowControl w:val="0"/>
        <w:numPr>
          <w:ilvl w:val="0"/>
          <w:numId w:val="20"/>
        </w:numPr>
        <w:spacing w:before="0" w:after="0" w:line="360" w:lineRule="auto"/>
        <w:ind w:left="714" w:hanging="35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количество  образовательных организаций - наставников. </w:t>
      </w:r>
    </w:p>
    <w:p w:rsidR="00673D74" w:rsidRDefault="00E27ED2">
      <w:pPr>
        <w:pStyle w:val="Heading1"/>
        <w:widowControl w:val="0"/>
        <w:spacing w:before="0" w:after="0" w:line="360" w:lineRule="auto"/>
        <w:ind w:left="714" w:hanging="357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Основные этапы мониторинга </w:t>
      </w:r>
    </w:p>
    <w:tbl>
      <w:tblPr>
        <w:tblStyle w:val="1"/>
        <w:tblW w:w="0" w:type="auto"/>
        <w:tblInd w:w="714" w:type="dxa"/>
        <w:tblLayout w:type="fixed"/>
        <w:tblLook w:val="04A0"/>
      </w:tblPr>
      <w:tblGrid>
        <w:gridCol w:w="660"/>
        <w:gridCol w:w="1128"/>
        <w:gridCol w:w="2124"/>
        <w:gridCol w:w="1416"/>
        <w:gridCol w:w="1692"/>
        <w:gridCol w:w="2160"/>
      </w:tblGrid>
      <w:tr w:rsidR="00673D74">
        <w:tc>
          <w:tcPr>
            <w:tcW w:w="6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</w:t>
            </w:r>
          </w:p>
        </w:tc>
        <w:tc>
          <w:tcPr>
            <w:tcW w:w="1128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Этап</w:t>
            </w:r>
          </w:p>
        </w:tc>
        <w:tc>
          <w:tcPr>
            <w:tcW w:w="2124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Содержание деятельности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Сроки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Ответст-венный</w:t>
            </w:r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Итоговый документ</w:t>
            </w:r>
          </w:p>
        </w:tc>
      </w:tr>
      <w:tr w:rsidR="00673D74">
        <w:tc>
          <w:tcPr>
            <w:tcW w:w="6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128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Подго-тови-тельный</w:t>
            </w:r>
          </w:p>
        </w:tc>
        <w:tc>
          <w:tcPr>
            <w:tcW w:w="2124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Выявление школ с низкими образовательными результатами.</w:t>
            </w:r>
          </w:p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Изучение самодиагностик ОО.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Июнь-август 2020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О.Г.Викульева</w:t>
            </w:r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Методические рекомендации по принятию управленческих решений</w:t>
            </w:r>
          </w:p>
        </w:tc>
      </w:tr>
      <w:tr w:rsidR="00673D74">
        <w:tc>
          <w:tcPr>
            <w:tcW w:w="660" w:type="dxa"/>
            <w:tcBorders>
              <w:bottom w:val="nil"/>
            </w:tcBorders>
          </w:tcPr>
          <w:p w:rsidR="00673D74" w:rsidRDefault="00E27ED2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128" w:type="dxa"/>
            <w:tcBorders>
              <w:bottom w:val="nil"/>
            </w:tcBorders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Практи-ческий</w:t>
            </w:r>
          </w:p>
        </w:tc>
        <w:tc>
          <w:tcPr>
            <w:tcW w:w="2124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Предоставление "дорожной карты" для экспертизы 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Ноябрь 2020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О.Г.Викульева</w:t>
            </w:r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Аналитическая справка по результатам мониторинга.</w:t>
            </w:r>
          </w:p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Подготовка адресных рекомендаций.</w:t>
            </w:r>
          </w:p>
        </w:tc>
      </w:tr>
      <w:tr w:rsidR="00673D74">
        <w:tc>
          <w:tcPr>
            <w:tcW w:w="660" w:type="dxa"/>
            <w:tcBorders>
              <w:top w:val="nil"/>
              <w:bottom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4" w:type="dxa"/>
          </w:tcPr>
          <w:p w:rsidR="00673D74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материалов для оценки</w:t>
            </w:r>
          </w:p>
          <w:p w:rsidR="00673D74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эффективности реализации  «дорожных карт»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Декабрь 2020, далее - 2 раза в год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О.Г.Викульева</w:t>
            </w:r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Аналитическая справка по результатам мониторинга</w:t>
            </w:r>
          </w:p>
        </w:tc>
      </w:tr>
      <w:tr w:rsidR="00673D74">
        <w:tc>
          <w:tcPr>
            <w:tcW w:w="660" w:type="dxa"/>
            <w:tcBorders>
              <w:top w:val="nil"/>
              <w:bottom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4" w:type="dxa"/>
          </w:tcPr>
          <w:p w:rsidR="00673D74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материалов, подтверждающих эффективность повышения квалификации учителей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Март 2021 </w:t>
            </w:r>
            <w:r>
              <w:rPr>
                <w:rFonts w:ascii="Times New Roman" w:hAnsi="Times New Roman"/>
                <w:b w:val="0"/>
                <w:sz w:val="24"/>
              </w:rPr>
              <w:lastRenderedPageBreak/>
              <w:t>года, далее - 1 раз в год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>О.Г.Викульев</w:t>
            </w:r>
            <w:r>
              <w:rPr>
                <w:rFonts w:ascii="Times New Roman" w:hAnsi="Times New Roman"/>
                <w:b w:val="0"/>
                <w:sz w:val="24"/>
              </w:rPr>
              <w:lastRenderedPageBreak/>
              <w:t>а</w:t>
            </w:r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 xml:space="preserve">Аналитическая </w:t>
            </w:r>
            <w:r>
              <w:rPr>
                <w:rFonts w:ascii="Times New Roman" w:hAnsi="Times New Roman"/>
                <w:b w:val="0"/>
                <w:sz w:val="24"/>
              </w:rPr>
              <w:lastRenderedPageBreak/>
              <w:t>справка по результатам мониторинга</w:t>
            </w:r>
          </w:p>
        </w:tc>
      </w:tr>
      <w:tr w:rsidR="00673D74">
        <w:tc>
          <w:tcPr>
            <w:tcW w:w="660" w:type="dxa"/>
            <w:tcBorders>
              <w:top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673D74" w:rsidRDefault="00673D74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4" w:type="dxa"/>
          </w:tcPr>
          <w:p w:rsidR="00673D74" w:rsidRDefault="00E27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Экспертиза документов по оценке эффективности оказания методической помощи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Июнь 2021, далее- 2 раза в год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О.Г.Викульев</w:t>
            </w:r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Аналитическая справка по результатам мониторинг</w:t>
            </w:r>
          </w:p>
        </w:tc>
      </w:tr>
      <w:tr w:rsidR="00673D74">
        <w:tc>
          <w:tcPr>
            <w:tcW w:w="660" w:type="dxa"/>
          </w:tcPr>
          <w:p w:rsidR="00673D74" w:rsidRDefault="00E27ED2">
            <w:pPr>
              <w:pStyle w:val="Heading1"/>
              <w:widowControl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128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Итого-вый</w:t>
            </w:r>
          </w:p>
        </w:tc>
        <w:tc>
          <w:tcPr>
            <w:tcW w:w="2124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Предоставление документов, подтверждающих положительную динамику результатов</w:t>
            </w:r>
          </w:p>
        </w:tc>
        <w:tc>
          <w:tcPr>
            <w:tcW w:w="1416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Декабрь 2022 </w:t>
            </w:r>
          </w:p>
        </w:tc>
        <w:tc>
          <w:tcPr>
            <w:tcW w:w="1692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О.Г.Викульева</w:t>
            </w:r>
          </w:p>
        </w:tc>
        <w:tc>
          <w:tcPr>
            <w:tcW w:w="2160" w:type="dxa"/>
          </w:tcPr>
          <w:p w:rsidR="00673D74" w:rsidRDefault="00E27ED2">
            <w:pPr>
              <w:pStyle w:val="Heading1"/>
              <w:widowControl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Аналитический отчёт</w:t>
            </w:r>
          </w:p>
        </w:tc>
      </w:tr>
    </w:tbl>
    <w:p w:rsidR="00673D74" w:rsidRDefault="00673D74">
      <w:pPr>
        <w:pStyle w:val="Heading1"/>
        <w:widowControl w:val="0"/>
        <w:spacing w:before="0" w:after="0" w:line="360" w:lineRule="auto"/>
        <w:ind w:left="714" w:hanging="357"/>
        <w:jc w:val="center"/>
        <w:rPr>
          <w:rFonts w:ascii="Times New Roman" w:hAnsi="Times New Roman"/>
          <w:b w:val="0"/>
        </w:rPr>
      </w:pPr>
    </w:p>
    <w:p w:rsidR="00673D74" w:rsidRDefault="00E27ED2">
      <w:pPr>
        <w:pStyle w:val="Heading1"/>
        <w:widowControl w:val="0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Методы сбора и обработки информации</w:t>
      </w:r>
    </w:p>
    <w:p w:rsidR="00673D74" w:rsidRDefault="00E27E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сбора информации, используемые в региональной программе методического сопровождения школ с низкими образовательными результатами обучающихся, определяют порядок получения показателей, определенных приказом департамента образования и науки Брянской области.</w:t>
      </w:r>
    </w:p>
    <w:p w:rsidR="00673D74" w:rsidRDefault="00E27ED2">
      <w:pPr>
        <w:pStyle w:val="a5"/>
        <w:spacing w:before="0" w:after="0" w:line="360" w:lineRule="auto"/>
        <w:ind w:firstLine="709"/>
        <w:jc w:val="both"/>
      </w:pPr>
      <w:r>
        <w:rPr>
          <w:color w:val="00000A"/>
          <w:sz w:val="28"/>
        </w:rPr>
        <w:t>Для проведения мониторинга могут использоваться следующие источники получения информации: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статистические и аналитические материалы (справки, отчеты) о результатах оценочных процедур (всероссийских проверочных работ, национальных исследований качества образования, единого государственного экзамена, основного государственного экзамена и другие материалы);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аналитические справки, отчеты о результатах повышения квалификации, аттестации педагогов;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аналитические справки, отчеты о деятельности школьных (городских) муниципальных методических объединений, методических служб на уровне муниципального образования;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lastRenderedPageBreak/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аналитические справки, отчеты о результатах методической работы на уровне муниципального образования;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отчет о самообследовании (с информацией о результатах методической работы);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материалы по результатам аналитической деятельности, содержащие управленческие решения (приказы, распоряжения, рекомендации, протоколы и другие материалы);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 xml:space="preserve"> дорожная карта (план-график) мероприятий;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color w:val="00000A"/>
          <w:sz w:val="28"/>
        </w:rPr>
        <w:t>-</w:t>
      </w:r>
      <w:r>
        <w:rPr>
          <w:color w:val="00000A"/>
          <w:sz w:val="28"/>
        </w:rPr>
        <w:tab/>
        <w:t>адресные рекомендации для коллективов школ, разных категорий педагогов и другие материалы;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методические мероприятия, проводимые в образовательных организациях, муниципальных системах образования;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  <w:rPr>
          <w:color w:val="00000A"/>
          <w:sz w:val="28"/>
        </w:rPr>
      </w:pPr>
      <w:r>
        <w:rPr>
          <w:rStyle w:val="apple-tab-span"/>
          <w:color w:val="00000A"/>
          <w:sz w:val="28"/>
        </w:rPr>
        <w:t>-</w:t>
      </w:r>
      <w:r>
        <w:rPr>
          <w:rStyle w:val="apple-tab-span"/>
          <w:color w:val="00000A"/>
          <w:sz w:val="28"/>
        </w:rPr>
        <w:tab/>
      </w:r>
      <w:r>
        <w:rPr>
          <w:color w:val="00000A"/>
          <w:sz w:val="28"/>
        </w:rPr>
        <w:t>информационный ресурс муниципальных методических объединений (сайт, страница на сайте управления образованием и другие ресурсы).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Методы обработки информации:</w:t>
      </w:r>
    </w:p>
    <w:p w:rsidR="00673D74" w:rsidRDefault="00E27ED2">
      <w:pPr>
        <w:pStyle w:val="a5"/>
        <w:numPr>
          <w:ilvl w:val="0"/>
          <w:numId w:val="25"/>
        </w:numPr>
        <w:tabs>
          <w:tab w:val="left" w:pos="993"/>
        </w:tabs>
        <w:spacing w:before="0" w:after="0" w:line="360" w:lineRule="auto"/>
        <w:jc w:val="both"/>
        <w:rPr>
          <w:color w:val="00000A"/>
          <w:sz w:val="28"/>
        </w:rPr>
      </w:pPr>
      <w:r>
        <w:rPr>
          <w:color w:val="00000A"/>
          <w:sz w:val="28"/>
        </w:rPr>
        <w:t>качественный анализ предполагает оценку представленных материалов с  точки зрения их реалистичности, измеряемости (критерии, показатели, формы, методы и т.д.),  а также соответствия заявленных мероприятий конкретным результатам, представленным  подтверждающими документами;</w:t>
      </w:r>
    </w:p>
    <w:p w:rsidR="00673D74" w:rsidRDefault="00E27ED2">
      <w:pPr>
        <w:pStyle w:val="a5"/>
        <w:numPr>
          <w:ilvl w:val="0"/>
          <w:numId w:val="25"/>
        </w:numPr>
        <w:tabs>
          <w:tab w:val="left" w:pos="993"/>
        </w:tabs>
        <w:spacing w:before="0" w:after="0" w:line="360" w:lineRule="auto"/>
        <w:jc w:val="both"/>
        <w:rPr>
          <w:color w:val="00000A"/>
          <w:sz w:val="28"/>
        </w:rPr>
      </w:pPr>
      <w:r>
        <w:rPr>
          <w:color w:val="00000A"/>
          <w:sz w:val="28"/>
        </w:rPr>
        <w:t>количественный анализ проводится с целью отслеживания положительной динамики результатов.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jc w:val="both"/>
        <w:rPr>
          <w:color w:val="00000A"/>
          <w:sz w:val="28"/>
        </w:rPr>
      </w:pPr>
      <w:r>
        <w:rPr>
          <w:color w:val="00000A"/>
          <w:sz w:val="28"/>
        </w:rPr>
        <w:tab/>
        <w:t>По результатам мониторинга принимаются управленческие решения.</w:t>
      </w:r>
    </w:p>
    <w:p w:rsidR="00673D74" w:rsidRDefault="00E27ED2">
      <w:pPr>
        <w:pStyle w:val="a5"/>
        <w:tabs>
          <w:tab w:val="left" w:pos="993"/>
        </w:tabs>
        <w:spacing w:before="0" w:after="0" w:line="360" w:lineRule="auto"/>
        <w:jc w:val="both"/>
      </w:pPr>
      <w:r>
        <w:rPr>
          <w:color w:val="00000A"/>
          <w:sz w:val="28"/>
        </w:rPr>
        <w:t>Данная региональная программа методического сопровождения школ, имеющих низкие образовательные результаты обучающихся, размещена на сайте ГАУ ДПО "Брянский институт повышения квалификации работников образования".</w:t>
      </w:r>
    </w:p>
    <w:p w:rsidR="00673D74" w:rsidRDefault="00673D74">
      <w:pPr>
        <w:pStyle w:val="Heading1"/>
        <w:widowControl w:val="0"/>
        <w:spacing w:before="0" w:after="0" w:line="360" w:lineRule="auto"/>
        <w:jc w:val="both"/>
        <w:rPr>
          <w:rFonts w:ascii="Times New Roman" w:hAnsi="Times New Roman"/>
          <w:b w:val="0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</w:rPr>
      </w:pPr>
    </w:p>
    <w:p w:rsidR="00673D74" w:rsidRDefault="00673D74">
      <w:pPr>
        <w:pStyle w:val="Heading1"/>
        <w:widowControl w:val="0"/>
        <w:spacing w:before="0" w:after="0" w:line="360" w:lineRule="auto"/>
        <w:ind w:left="0" w:firstLine="549"/>
        <w:jc w:val="both"/>
        <w:rPr>
          <w:rFonts w:ascii="Times New Roman" w:hAnsi="Times New Roman"/>
          <w:b w:val="0"/>
        </w:rPr>
      </w:pPr>
    </w:p>
    <w:p w:rsidR="00673D74" w:rsidRDefault="00673D74">
      <w:pPr>
        <w:pStyle w:val="a3"/>
        <w:widowControl w:val="0"/>
        <w:spacing w:before="1" w:after="1"/>
        <w:rPr>
          <w:rFonts w:ascii="Times New Roman" w:hAnsi="Times New Roman"/>
        </w:rPr>
      </w:pPr>
    </w:p>
    <w:p w:rsidR="00673D74" w:rsidRDefault="00673D74">
      <w:pPr>
        <w:pStyle w:val="a3"/>
        <w:widowControl w:val="0"/>
        <w:spacing w:after="0"/>
        <w:rPr>
          <w:rFonts w:ascii="Times New Roman" w:hAnsi="Times New Roman"/>
        </w:rPr>
      </w:pPr>
    </w:p>
    <w:p w:rsidR="00673D74" w:rsidRDefault="00673D74">
      <w:pPr>
        <w:pStyle w:val="a3"/>
        <w:widowControl w:val="0"/>
        <w:spacing w:before="7" w:after="0"/>
        <w:rPr>
          <w:rFonts w:ascii="Times New Roman" w:hAnsi="Times New Roman"/>
        </w:rPr>
      </w:pPr>
    </w:p>
    <w:p w:rsidR="00673D74" w:rsidRDefault="00673D74">
      <w:pPr>
        <w:jc w:val="both"/>
      </w:pPr>
    </w:p>
    <w:p w:rsidR="00673D74" w:rsidRDefault="00673D74">
      <w:pPr>
        <w:rPr>
          <w:rFonts w:ascii="Times New Roman" w:hAnsi="Times New Roman"/>
          <w:sz w:val="24"/>
        </w:rPr>
      </w:pPr>
    </w:p>
    <w:sectPr w:rsidR="00673D74" w:rsidSect="00673D7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ABB"/>
    <w:multiLevelType w:val="hybridMultilevel"/>
    <w:tmpl w:val="8E90934A"/>
    <w:lvl w:ilvl="0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7189" w:hanging="360"/>
      </w:pPr>
      <w:rPr>
        <w:rFonts w:ascii="Wingdings" w:hAnsi="Wingdings"/>
      </w:rPr>
    </w:lvl>
  </w:abstractNum>
  <w:abstractNum w:abstractNumId="1">
    <w:nsid w:val="14545B8F"/>
    <w:multiLevelType w:val="hybridMultilevel"/>
    <w:tmpl w:val="EAEE54EC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909CA1D"/>
    <w:multiLevelType w:val="hybridMultilevel"/>
    <w:tmpl w:val="0A1297A6"/>
    <w:lvl w:ilvl="0" w:tplc="39E8BF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026A3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9BB4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69302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C4E5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3F7D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A5CD0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F133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7EB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1BC42982"/>
    <w:multiLevelType w:val="hybridMultilevel"/>
    <w:tmpl w:val="5E78A8AE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42D1F06"/>
    <w:multiLevelType w:val="hybridMultilevel"/>
    <w:tmpl w:val="21C6E976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514F520"/>
    <w:multiLevelType w:val="hybridMultilevel"/>
    <w:tmpl w:val="A1BA0E58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6C61CEE"/>
    <w:multiLevelType w:val="hybridMultilevel"/>
    <w:tmpl w:val="5E2E8C96"/>
    <w:lvl w:ilvl="0" w:tplc="27D2215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6CE0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FCBF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F860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2D279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AE7A1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C26D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6BE24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DB4C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27A1925A"/>
    <w:multiLevelType w:val="hybridMultilevel"/>
    <w:tmpl w:val="746E3792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365F7C84"/>
    <w:multiLevelType w:val="multilevel"/>
    <w:tmpl w:val="C8C83FD4"/>
    <w:lvl w:ilvl="0">
      <w:start w:val="1"/>
      <w:numFmt w:val="upperRoman"/>
      <w:lvlText w:val="%1."/>
      <w:lvlJc w:val="left"/>
      <w:pPr>
        <w:widowControl/>
        <w:ind w:left="102" w:hanging="214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widowControl/>
        <w:ind w:left="1191" w:hanging="382"/>
      </w:pPr>
      <w:rPr>
        <w:rFonts w:ascii="Times New Roman" w:hAnsi="Times New Roman"/>
      </w:rPr>
    </w:lvl>
    <w:lvl w:ilvl="2">
      <w:numFmt w:val="bullet"/>
      <w:lvlText w:val="•"/>
      <w:lvlJc w:val="left"/>
      <w:pPr>
        <w:widowControl/>
        <w:ind w:left="2162" w:hanging="382"/>
      </w:pPr>
    </w:lvl>
    <w:lvl w:ilvl="3">
      <w:numFmt w:val="bullet"/>
      <w:lvlText w:val="•"/>
      <w:lvlJc w:val="left"/>
      <w:pPr>
        <w:widowControl/>
        <w:ind w:left="3125" w:hanging="382"/>
      </w:pPr>
    </w:lvl>
    <w:lvl w:ilvl="4">
      <w:numFmt w:val="bullet"/>
      <w:lvlText w:val="•"/>
      <w:lvlJc w:val="left"/>
      <w:pPr>
        <w:widowControl/>
        <w:ind w:left="4088" w:hanging="382"/>
      </w:pPr>
    </w:lvl>
    <w:lvl w:ilvl="5">
      <w:numFmt w:val="bullet"/>
      <w:lvlText w:val="•"/>
      <w:lvlJc w:val="left"/>
      <w:pPr>
        <w:widowControl/>
        <w:ind w:left="5051" w:hanging="382"/>
      </w:pPr>
    </w:lvl>
    <w:lvl w:ilvl="6">
      <w:numFmt w:val="bullet"/>
      <w:lvlText w:val="•"/>
      <w:lvlJc w:val="left"/>
      <w:pPr>
        <w:widowControl/>
        <w:ind w:left="6014" w:hanging="382"/>
      </w:pPr>
    </w:lvl>
    <w:lvl w:ilvl="7">
      <w:numFmt w:val="bullet"/>
      <w:lvlText w:val="•"/>
      <w:lvlJc w:val="left"/>
      <w:pPr>
        <w:widowControl/>
        <w:ind w:left="6977" w:hanging="382"/>
      </w:pPr>
    </w:lvl>
    <w:lvl w:ilvl="8">
      <w:numFmt w:val="bullet"/>
      <w:lvlText w:val="•"/>
      <w:lvlJc w:val="left"/>
      <w:pPr>
        <w:widowControl/>
        <w:ind w:left="7940" w:hanging="382"/>
      </w:pPr>
    </w:lvl>
  </w:abstractNum>
  <w:abstractNum w:abstractNumId="9">
    <w:nsid w:val="38334211"/>
    <w:multiLevelType w:val="hybridMultilevel"/>
    <w:tmpl w:val="251AC9E4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3B135A95"/>
    <w:multiLevelType w:val="hybridMultilevel"/>
    <w:tmpl w:val="D25E0648"/>
    <w:lvl w:ilvl="0" w:tplc="27D2215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6CE0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FCBF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F860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2D279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AE7A1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C26D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6BE24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DB4C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3D57C7CD"/>
    <w:multiLevelType w:val="hybridMultilevel"/>
    <w:tmpl w:val="52F625D4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3FB82B0B"/>
    <w:multiLevelType w:val="hybridMultilevel"/>
    <w:tmpl w:val="F3CA3C68"/>
    <w:lvl w:ilvl="0" w:tplc="1C74E544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color w:val="000000"/>
      </w:rPr>
    </w:lvl>
    <w:lvl w:ilvl="1" w:tplc="7E10985C">
      <w:start w:val="1"/>
      <w:numFmt w:val="decimal"/>
      <w:lvlText w:val="%2."/>
      <w:lvlJc w:val="left"/>
      <w:pPr>
        <w:spacing w:beforeAutospacing="0" w:after="0" w:afterAutospacing="0" w:line="240" w:lineRule="auto"/>
        <w:ind w:left="2430" w:hanging="135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3">
    <w:nsid w:val="443D8AA8"/>
    <w:multiLevelType w:val="hybridMultilevel"/>
    <w:tmpl w:val="04128A8E"/>
    <w:lvl w:ilvl="0" w:tplc="27D2215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6CE0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FCBF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F860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B2D279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AE7A1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C26D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6BE24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DB4C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46542893"/>
    <w:multiLevelType w:val="hybridMultilevel"/>
    <w:tmpl w:val="8344631E"/>
    <w:lvl w:ilvl="0" w:tplc="39E8BF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026A3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9BB4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69302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C4E5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3F7D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A5CD0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F133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7EB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>
    <w:nsid w:val="515E30D8"/>
    <w:multiLevelType w:val="hybridMultilevel"/>
    <w:tmpl w:val="B8CAA1B0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5435C096"/>
    <w:multiLevelType w:val="multilevel"/>
    <w:tmpl w:val="C64E1F86"/>
    <w:lvl w:ilvl="0">
      <w:start w:val="1"/>
      <w:numFmt w:val="decimal"/>
      <w:lvlText w:val="%1."/>
      <w:lvlJc w:val="left"/>
      <w:pPr>
        <w:widowControl/>
        <w:ind w:left="1167" w:hanging="358"/>
      </w:pPr>
      <w:rPr>
        <w:b/>
      </w:rPr>
    </w:lvl>
    <w:lvl w:ilvl="1">
      <w:numFmt w:val="bullet"/>
      <w:lvlText w:val="•"/>
      <w:lvlJc w:val="left"/>
      <w:pPr>
        <w:widowControl/>
        <w:ind w:left="2030" w:hanging="358"/>
      </w:pPr>
    </w:lvl>
    <w:lvl w:ilvl="2">
      <w:numFmt w:val="bullet"/>
      <w:lvlText w:val="•"/>
      <w:lvlJc w:val="left"/>
      <w:pPr>
        <w:widowControl/>
        <w:ind w:left="2901" w:hanging="358"/>
      </w:pPr>
    </w:lvl>
    <w:lvl w:ilvl="3">
      <w:numFmt w:val="bullet"/>
      <w:lvlText w:val="•"/>
      <w:lvlJc w:val="left"/>
      <w:pPr>
        <w:widowControl/>
        <w:ind w:left="3771" w:hanging="358"/>
      </w:pPr>
    </w:lvl>
    <w:lvl w:ilvl="4">
      <w:numFmt w:val="bullet"/>
      <w:lvlText w:val="•"/>
      <w:lvlJc w:val="left"/>
      <w:pPr>
        <w:widowControl/>
        <w:ind w:left="4642" w:hanging="358"/>
      </w:pPr>
    </w:lvl>
    <w:lvl w:ilvl="5">
      <w:numFmt w:val="bullet"/>
      <w:lvlText w:val="•"/>
      <w:lvlJc w:val="left"/>
      <w:pPr>
        <w:widowControl/>
        <w:ind w:left="5513" w:hanging="358"/>
      </w:pPr>
    </w:lvl>
    <w:lvl w:ilvl="6">
      <w:numFmt w:val="bullet"/>
      <w:lvlText w:val="•"/>
      <w:lvlJc w:val="left"/>
      <w:pPr>
        <w:widowControl/>
        <w:ind w:left="6383" w:hanging="358"/>
      </w:pPr>
    </w:lvl>
    <w:lvl w:ilvl="7">
      <w:numFmt w:val="bullet"/>
      <w:lvlText w:val="•"/>
      <w:lvlJc w:val="left"/>
      <w:pPr>
        <w:widowControl/>
        <w:ind w:left="7254" w:hanging="358"/>
      </w:pPr>
    </w:lvl>
    <w:lvl w:ilvl="8">
      <w:numFmt w:val="bullet"/>
      <w:lvlText w:val="•"/>
      <w:lvlJc w:val="left"/>
      <w:pPr>
        <w:widowControl/>
        <w:ind w:left="8125" w:hanging="358"/>
      </w:pPr>
    </w:lvl>
  </w:abstractNum>
  <w:abstractNum w:abstractNumId="17">
    <w:nsid w:val="5D4DE402"/>
    <w:multiLevelType w:val="hybridMultilevel"/>
    <w:tmpl w:val="55E839A4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61C3CD67"/>
    <w:multiLevelType w:val="hybridMultilevel"/>
    <w:tmpl w:val="894A7C1C"/>
    <w:lvl w:ilvl="0" w:tplc="43D7D42E">
      <w:start w:val="1"/>
      <w:numFmt w:val="decimal"/>
      <w:lvlText w:val="-"/>
      <w:legacy w:legacy="1" w:legacySpace="0" w:legacyIndent="0"/>
      <w:lvlJc w:val="left"/>
      <w:pPr>
        <w:ind w:left="450"/>
      </w:pPr>
      <w:rPr>
        <w:sz w:val="48"/>
      </w:rPr>
    </w:lvl>
    <w:lvl w:ilvl="1" w:tplc="6E153CB3">
      <w:start w:val="1"/>
      <w:numFmt w:val="decimal"/>
      <w:lvlText w:val="-"/>
      <w:legacy w:legacy="1" w:legacySpace="0" w:legacyIndent="0"/>
      <w:lvlJc w:val="left"/>
      <w:pPr>
        <w:ind w:left="1170"/>
      </w:pPr>
      <w:rPr>
        <w:sz w:val="48"/>
      </w:rPr>
    </w:lvl>
    <w:lvl w:ilvl="2" w:tplc="062CF3C9">
      <w:start w:val="1"/>
      <w:numFmt w:val="decimal"/>
      <w:lvlText w:val="-"/>
      <w:legacy w:legacy="1" w:legacySpace="0" w:legacyIndent="0"/>
      <w:lvlJc w:val="left"/>
      <w:pPr>
        <w:ind w:left="1890"/>
      </w:pPr>
      <w:rPr>
        <w:sz w:val="48"/>
      </w:rPr>
    </w:lvl>
    <w:lvl w:ilvl="3" w:tplc="0EC2D50E">
      <w:start w:val="1"/>
      <w:numFmt w:val="decimal"/>
      <w:lvlText w:val="-"/>
      <w:legacy w:legacy="1" w:legacySpace="0" w:legacyIndent="0"/>
      <w:lvlJc w:val="left"/>
      <w:pPr>
        <w:ind w:left="2610"/>
      </w:pPr>
      <w:rPr>
        <w:sz w:val="48"/>
      </w:rPr>
    </w:lvl>
    <w:lvl w:ilvl="4" w:tplc="4094D55A">
      <w:start w:val="1"/>
      <w:numFmt w:val="decimal"/>
      <w:lvlText w:val="-"/>
      <w:legacy w:legacy="1" w:legacySpace="0" w:legacyIndent="0"/>
      <w:lvlJc w:val="left"/>
      <w:pPr>
        <w:ind w:left="3330"/>
      </w:pPr>
      <w:rPr>
        <w:sz w:val="48"/>
      </w:rPr>
    </w:lvl>
    <w:lvl w:ilvl="5" w:tplc="0B8DDB37">
      <w:start w:val="1"/>
      <w:numFmt w:val="decimal"/>
      <w:lvlText w:val="-"/>
      <w:legacy w:legacy="1" w:legacySpace="0" w:legacyIndent="0"/>
      <w:lvlJc w:val="left"/>
      <w:pPr>
        <w:ind w:left="4050"/>
      </w:pPr>
      <w:rPr>
        <w:sz w:val="48"/>
      </w:rPr>
    </w:lvl>
    <w:lvl w:ilvl="6" w:tplc="28CE0039">
      <w:start w:val="1"/>
      <w:numFmt w:val="decimal"/>
      <w:lvlText w:val="-"/>
      <w:legacy w:legacy="1" w:legacySpace="0" w:legacyIndent="0"/>
      <w:lvlJc w:val="left"/>
      <w:pPr>
        <w:ind w:left="4770"/>
      </w:pPr>
      <w:rPr>
        <w:sz w:val="48"/>
      </w:rPr>
    </w:lvl>
    <w:lvl w:ilvl="7" w:tplc="5C25EC00">
      <w:start w:val="1"/>
      <w:numFmt w:val="decimal"/>
      <w:lvlText w:val="-"/>
      <w:legacy w:legacy="1" w:legacySpace="0" w:legacyIndent="0"/>
      <w:lvlJc w:val="left"/>
      <w:pPr>
        <w:ind w:left="5490"/>
      </w:pPr>
      <w:rPr>
        <w:sz w:val="48"/>
      </w:rPr>
    </w:lvl>
    <w:lvl w:ilvl="8" w:tplc="08198392">
      <w:start w:val="1"/>
      <w:numFmt w:val="decimal"/>
      <w:lvlText w:val="-"/>
      <w:legacy w:legacy="1" w:legacySpace="0" w:legacyIndent="0"/>
      <w:lvlJc w:val="left"/>
      <w:pPr>
        <w:ind w:left="6210"/>
      </w:pPr>
      <w:rPr>
        <w:sz w:val="48"/>
      </w:rPr>
    </w:lvl>
  </w:abstractNum>
  <w:abstractNum w:abstractNumId="19">
    <w:nsid w:val="6518617F"/>
    <w:multiLevelType w:val="hybridMultilevel"/>
    <w:tmpl w:val="DF50A64A"/>
    <w:lvl w:ilvl="0" w:tplc="6F7D0B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902D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47F25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FF4E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3EA08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F7EFB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CDF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AF971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4DC9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6707E7E0"/>
    <w:multiLevelType w:val="hybridMultilevel"/>
    <w:tmpl w:val="9DAC7AE8"/>
    <w:lvl w:ilvl="0" w:tplc="4BEB5EA9">
      <w:start w:val="1"/>
      <w:numFmt w:val="decimal"/>
      <w:lvlText w:val="-"/>
      <w:legacy w:legacy="1" w:legacySpace="0" w:legacyIndent="0"/>
      <w:lvlJc w:val="left"/>
      <w:pPr>
        <w:ind w:left="540"/>
      </w:pPr>
      <w:rPr>
        <w:sz w:val="48"/>
      </w:rPr>
    </w:lvl>
    <w:lvl w:ilvl="1" w:tplc="5A42DF95">
      <w:start w:val="1"/>
      <w:numFmt w:val="decimal"/>
      <w:lvlText w:val="-"/>
      <w:legacy w:legacy="1" w:legacySpace="0" w:legacyIndent="0"/>
      <w:lvlJc w:val="left"/>
      <w:pPr>
        <w:ind w:left="1260"/>
      </w:pPr>
      <w:rPr>
        <w:sz w:val="48"/>
      </w:rPr>
    </w:lvl>
    <w:lvl w:ilvl="2" w:tplc="0CC4C75B">
      <w:start w:val="1"/>
      <w:numFmt w:val="decimal"/>
      <w:lvlText w:val="-"/>
      <w:legacy w:legacy="1" w:legacySpace="0" w:legacyIndent="0"/>
      <w:lvlJc w:val="left"/>
      <w:pPr>
        <w:ind w:left="1980"/>
      </w:pPr>
      <w:rPr>
        <w:sz w:val="48"/>
      </w:rPr>
    </w:lvl>
    <w:lvl w:ilvl="3" w:tplc="11D43525">
      <w:start w:val="1"/>
      <w:numFmt w:val="decimal"/>
      <w:lvlText w:val="-"/>
      <w:legacy w:legacy="1" w:legacySpace="0" w:legacyIndent="0"/>
      <w:lvlJc w:val="left"/>
      <w:pPr>
        <w:ind w:left="2700"/>
      </w:pPr>
      <w:rPr>
        <w:sz w:val="48"/>
      </w:rPr>
    </w:lvl>
    <w:lvl w:ilvl="4" w:tplc="3266EC0A">
      <w:start w:val="1"/>
      <w:numFmt w:val="decimal"/>
      <w:lvlText w:val="-"/>
      <w:legacy w:legacy="1" w:legacySpace="0" w:legacyIndent="0"/>
      <w:lvlJc w:val="left"/>
      <w:pPr>
        <w:ind w:left="3420"/>
      </w:pPr>
      <w:rPr>
        <w:sz w:val="48"/>
      </w:rPr>
    </w:lvl>
    <w:lvl w:ilvl="5" w:tplc="68E8595D">
      <w:start w:val="1"/>
      <w:numFmt w:val="decimal"/>
      <w:lvlText w:val="-"/>
      <w:legacy w:legacy="1" w:legacySpace="0" w:legacyIndent="0"/>
      <w:lvlJc w:val="left"/>
      <w:pPr>
        <w:ind w:left="4140"/>
      </w:pPr>
      <w:rPr>
        <w:sz w:val="48"/>
      </w:rPr>
    </w:lvl>
    <w:lvl w:ilvl="6" w:tplc="280AC0A2">
      <w:start w:val="1"/>
      <w:numFmt w:val="decimal"/>
      <w:lvlText w:val="-"/>
      <w:legacy w:legacy="1" w:legacySpace="0" w:legacyIndent="0"/>
      <w:lvlJc w:val="left"/>
      <w:pPr>
        <w:ind w:left="4860"/>
      </w:pPr>
      <w:rPr>
        <w:sz w:val="48"/>
      </w:rPr>
    </w:lvl>
    <w:lvl w:ilvl="7" w:tplc="6AC70BE9">
      <w:start w:val="1"/>
      <w:numFmt w:val="decimal"/>
      <w:lvlText w:val="-"/>
      <w:legacy w:legacy="1" w:legacySpace="0" w:legacyIndent="0"/>
      <w:lvlJc w:val="left"/>
      <w:pPr>
        <w:ind w:left="5580"/>
      </w:pPr>
      <w:rPr>
        <w:sz w:val="48"/>
      </w:rPr>
    </w:lvl>
    <w:lvl w:ilvl="8" w:tplc="11EDF99A">
      <w:start w:val="1"/>
      <w:numFmt w:val="decimal"/>
      <w:lvlText w:val="-"/>
      <w:legacy w:legacy="1" w:legacySpace="0" w:legacyIndent="0"/>
      <w:lvlJc w:val="left"/>
      <w:pPr>
        <w:ind w:left="6300"/>
      </w:pPr>
      <w:rPr>
        <w:sz w:val="48"/>
      </w:rPr>
    </w:lvl>
  </w:abstractNum>
  <w:abstractNum w:abstractNumId="21">
    <w:nsid w:val="6D6CE138"/>
    <w:multiLevelType w:val="hybridMultilevel"/>
    <w:tmpl w:val="5B460AE2"/>
    <w:lvl w:ilvl="0" w:tplc="39E8BF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026A3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9BB4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69302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C4E5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3F7D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A5CD0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F133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7EB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78ECEE3D"/>
    <w:multiLevelType w:val="hybridMultilevel"/>
    <w:tmpl w:val="9D78978C"/>
    <w:lvl w:ilvl="0" w:tplc="39E8BFC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026A3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219BB4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69302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4C4E58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3F7D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A5CD0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F133B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E7EB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78EF572C"/>
    <w:multiLevelType w:val="hybridMultilevel"/>
    <w:tmpl w:val="55040258"/>
    <w:lvl w:ilvl="0" w:tplc="48339016">
      <w:start w:val="1"/>
      <w:numFmt w:val="decimal"/>
      <w:lvlText w:val="-"/>
      <w:legacy w:legacy="1" w:legacySpace="0" w:legacyIndent="0"/>
      <w:lvlJc w:val="left"/>
      <w:pPr>
        <w:ind w:left="540"/>
      </w:pPr>
      <w:rPr>
        <w:sz w:val="48"/>
      </w:rPr>
    </w:lvl>
    <w:lvl w:ilvl="1" w:tplc="38502CD4">
      <w:start w:val="1"/>
      <w:numFmt w:val="decimal"/>
      <w:lvlText w:val="-"/>
      <w:legacy w:legacy="1" w:legacySpace="0" w:legacyIndent="0"/>
      <w:lvlJc w:val="left"/>
      <w:pPr>
        <w:ind w:left="1260"/>
      </w:pPr>
      <w:rPr>
        <w:sz w:val="48"/>
      </w:rPr>
    </w:lvl>
    <w:lvl w:ilvl="2" w:tplc="0294F659">
      <w:start w:val="1"/>
      <w:numFmt w:val="decimal"/>
      <w:lvlText w:val="-"/>
      <w:legacy w:legacy="1" w:legacySpace="0" w:legacyIndent="0"/>
      <w:lvlJc w:val="left"/>
      <w:pPr>
        <w:ind w:left="1980"/>
      </w:pPr>
      <w:rPr>
        <w:sz w:val="48"/>
      </w:rPr>
    </w:lvl>
    <w:lvl w:ilvl="3" w:tplc="7A6184E3">
      <w:start w:val="1"/>
      <w:numFmt w:val="decimal"/>
      <w:lvlText w:val="-"/>
      <w:legacy w:legacy="1" w:legacySpace="0" w:legacyIndent="0"/>
      <w:lvlJc w:val="left"/>
      <w:pPr>
        <w:ind w:left="2700"/>
      </w:pPr>
      <w:rPr>
        <w:sz w:val="48"/>
      </w:rPr>
    </w:lvl>
    <w:lvl w:ilvl="4" w:tplc="1B2F7D06">
      <w:start w:val="1"/>
      <w:numFmt w:val="decimal"/>
      <w:lvlText w:val="-"/>
      <w:legacy w:legacy="1" w:legacySpace="0" w:legacyIndent="0"/>
      <w:lvlJc w:val="left"/>
      <w:pPr>
        <w:ind w:left="3420"/>
      </w:pPr>
      <w:rPr>
        <w:sz w:val="48"/>
      </w:rPr>
    </w:lvl>
    <w:lvl w:ilvl="5" w:tplc="51E9238F">
      <w:start w:val="1"/>
      <w:numFmt w:val="decimal"/>
      <w:lvlText w:val="-"/>
      <w:legacy w:legacy="1" w:legacySpace="0" w:legacyIndent="0"/>
      <w:lvlJc w:val="left"/>
      <w:pPr>
        <w:ind w:left="4140"/>
      </w:pPr>
      <w:rPr>
        <w:sz w:val="48"/>
      </w:rPr>
    </w:lvl>
    <w:lvl w:ilvl="6" w:tplc="095480F1">
      <w:start w:val="1"/>
      <w:numFmt w:val="decimal"/>
      <w:lvlText w:val="-"/>
      <w:legacy w:legacy="1" w:legacySpace="0" w:legacyIndent="0"/>
      <w:lvlJc w:val="left"/>
      <w:pPr>
        <w:ind w:left="4860"/>
      </w:pPr>
      <w:rPr>
        <w:sz w:val="48"/>
      </w:rPr>
    </w:lvl>
    <w:lvl w:ilvl="7" w:tplc="64CCD24C">
      <w:start w:val="1"/>
      <w:numFmt w:val="decimal"/>
      <w:lvlText w:val="-"/>
      <w:legacy w:legacy="1" w:legacySpace="0" w:legacyIndent="0"/>
      <w:lvlJc w:val="left"/>
      <w:pPr>
        <w:ind w:left="5580"/>
      </w:pPr>
      <w:rPr>
        <w:sz w:val="48"/>
      </w:rPr>
    </w:lvl>
    <w:lvl w:ilvl="8" w:tplc="5D0BF6B8">
      <w:start w:val="1"/>
      <w:numFmt w:val="decimal"/>
      <w:lvlText w:val="-"/>
      <w:legacy w:legacy="1" w:legacySpace="0" w:legacyIndent="0"/>
      <w:lvlJc w:val="left"/>
      <w:pPr>
        <w:ind w:left="6300"/>
      </w:pPr>
      <w:rPr>
        <w:sz w:val="48"/>
      </w:rPr>
    </w:lvl>
  </w:abstractNum>
  <w:abstractNum w:abstractNumId="24">
    <w:nsid w:val="7AD31A3F"/>
    <w:multiLevelType w:val="hybridMultilevel"/>
    <w:tmpl w:val="9482DC4E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>
    <w:nsid w:val="7C7285C4"/>
    <w:multiLevelType w:val="hybridMultilevel"/>
    <w:tmpl w:val="E390BE20"/>
    <w:lvl w:ilvl="0" w:tplc="57B147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E8C47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DB70F3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E27EAF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C2AEAB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2B8E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6EEB5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DA88CE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9CCC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25"/>
  </w:num>
  <w:num w:numId="8">
    <w:abstractNumId w:val="15"/>
  </w:num>
  <w:num w:numId="9">
    <w:abstractNumId w:val="24"/>
  </w:num>
  <w:num w:numId="10">
    <w:abstractNumId w:val="23"/>
  </w:num>
  <w:num w:numId="11">
    <w:abstractNumId w:val="20"/>
  </w:num>
  <w:num w:numId="12">
    <w:abstractNumId w:val="18"/>
  </w:num>
  <w:num w:numId="13">
    <w:abstractNumId w:val="19"/>
  </w:num>
  <w:num w:numId="14">
    <w:abstractNumId w:val="3"/>
  </w:num>
  <w:num w:numId="15">
    <w:abstractNumId w:val="1"/>
  </w:num>
  <w:num w:numId="16">
    <w:abstractNumId w:val="11"/>
  </w:num>
  <w:num w:numId="17">
    <w:abstractNumId w:val="4"/>
  </w:num>
  <w:num w:numId="18">
    <w:abstractNumId w:val="5"/>
  </w:num>
  <w:num w:numId="19">
    <w:abstractNumId w:val="0"/>
  </w:num>
  <w:num w:numId="20">
    <w:abstractNumId w:val="22"/>
  </w:num>
  <w:num w:numId="21">
    <w:abstractNumId w:val="21"/>
  </w:num>
  <w:num w:numId="22">
    <w:abstractNumId w:val="2"/>
  </w:num>
  <w:num w:numId="23">
    <w:abstractNumId w:val="14"/>
  </w:num>
  <w:num w:numId="24">
    <w:abstractNumId w:val="10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73D74"/>
    <w:rsid w:val="003B4454"/>
    <w:rsid w:val="00403D18"/>
    <w:rsid w:val="00673D74"/>
    <w:rsid w:val="009A2807"/>
    <w:rsid w:val="00A254C0"/>
    <w:rsid w:val="00E27ED2"/>
    <w:rsid w:val="00E9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rsid w:val="00673D74"/>
    <w:pPr>
      <w:spacing w:before="89"/>
      <w:ind w:left="1530" w:hanging="360"/>
      <w:outlineLvl w:val="1"/>
    </w:pPr>
    <w:rPr>
      <w:b/>
      <w:sz w:val="28"/>
    </w:rPr>
  </w:style>
  <w:style w:type="paragraph" w:styleId="a3">
    <w:name w:val="Body Text"/>
    <w:basedOn w:val="a"/>
    <w:rsid w:val="00673D74"/>
    <w:rPr>
      <w:sz w:val="24"/>
    </w:rPr>
  </w:style>
  <w:style w:type="paragraph" w:customStyle="1" w:styleId="Heading2">
    <w:name w:val="Heading 2"/>
    <w:basedOn w:val="a"/>
    <w:rsid w:val="00673D74"/>
    <w:pPr>
      <w:spacing w:before="125"/>
      <w:ind w:left="1170" w:hanging="360"/>
      <w:jc w:val="both"/>
      <w:outlineLvl w:val="2"/>
    </w:pPr>
    <w:rPr>
      <w:b/>
      <w:sz w:val="24"/>
    </w:rPr>
  </w:style>
  <w:style w:type="paragraph" w:customStyle="1" w:styleId="TableParagraph">
    <w:name w:val="Table Paragraph"/>
    <w:basedOn w:val="a"/>
    <w:rsid w:val="00673D74"/>
  </w:style>
  <w:style w:type="paragraph" w:styleId="a4">
    <w:name w:val="List Paragraph"/>
    <w:basedOn w:val="a"/>
    <w:qFormat/>
    <w:rsid w:val="00673D74"/>
    <w:pPr>
      <w:ind w:left="1191" w:hanging="360"/>
      <w:jc w:val="both"/>
    </w:pPr>
  </w:style>
  <w:style w:type="paragraph" w:styleId="a5">
    <w:name w:val="Normal (Web)"/>
    <w:basedOn w:val="a"/>
    <w:rsid w:val="00673D74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LineNumber">
    <w:name w:val="Line Number"/>
    <w:basedOn w:val="a0"/>
    <w:semiHidden/>
    <w:rsid w:val="00673D74"/>
  </w:style>
  <w:style w:type="character" w:styleId="a6">
    <w:name w:val="Hyperlink"/>
    <w:rsid w:val="00673D74"/>
    <w:rPr>
      <w:color w:val="0000FF"/>
      <w:u w:val="single"/>
    </w:rPr>
  </w:style>
  <w:style w:type="character" w:customStyle="1" w:styleId="apple-tab-span">
    <w:name w:val="apple-tab-span"/>
    <w:basedOn w:val="a0"/>
    <w:rsid w:val="00673D74"/>
  </w:style>
  <w:style w:type="table" w:styleId="1">
    <w:name w:val="Table Simple 1"/>
    <w:basedOn w:val="a1"/>
    <w:rsid w:val="00673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73D74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Ольга</cp:lastModifiedBy>
  <cp:revision>2</cp:revision>
  <dcterms:created xsi:type="dcterms:W3CDTF">2021-09-16T06:31:00Z</dcterms:created>
  <dcterms:modified xsi:type="dcterms:W3CDTF">2021-09-16T06:31:00Z</dcterms:modified>
</cp:coreProperties>
</file>